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9B" w:rsidRPr="0073239B" w:rsidRDefault="00DA6D18" w:rsidP="00BF5047">
      <w:pPr>
        <w:shd w:val="clear" w:color="auto" w:fill="D65FF7"/>
        <w:jc w:val="center"/>
        <w:rPr>
          <w:b/>
          <w:sz w:val="28"/>
          <w:szCs w:val="28"/>
        </w:rPr>
      </w:pPr>
      <w:r w:rsidRPr="0005186A">
        <w:rPr>
          <w:b/>
          <w:sz w:val="28"/>
          <w:szCs w:val="28"/>
        </w:rPr>
        <w:t xml:space="preserve">Liste </w:t>
      </w:r>
      <w:r w:rsidR="006B2635">
        <w:rPr>
          <w:b/>
          <w:sz w:val="28"/>
          <w:szCs w:val="28"/>
        </w:rPr>
        <w:t>Inputreferate 10.15 – 11.45</w:t>
      </w:r>
      <w:r w:rsidR="0034085F">
        <w:rPr>
          <w:b/>
          <w:sz w:val="28"/>
          <w:szCs w:val="28"/>
        </w:rPr>
        <w:t xml:space="preserve"> Uhr</w:t>
      </w:r>
    </w:p>
    <w:p w:rsidR="00D25B65" w:rsidRPr="00807C45" w:rsidRDefault="00D25B65" w:rsidP="0044650F">
      <w:pPr>
        <w:rPr>
          <w:sz w:val="16"/>
          <w:szCs w:val="16"/>
        </w:rPr>
      </w:pPr>
    </w:p>
    <w:tbl>
      <w:tblPr>
        <w:tblStyle w:val="Tabellenraster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276"/>
        <w:gridCol w:w="850"/>
        <w:gridCol w:w="1276"/>
        <w:gridCol w:w="709"/>
        <w:gridCol w:w="1984"/>
        <w:gridCol w:w="1843"/>
        <w:gridCol w:w="1417"/>
        <w:gridCol w:w="2977"/>
      </w:tblGrid>
      <w:tr w:rsidR="00BF5047" w:rsidRPr="00FA200D" w:rsidTr="00BF5047">
        <w:trPr>
          <w:trHeight w:val="275"/>
        </w:trPr>
        <w:tc>
          <w:tcPr>
            <w:tcW w:w="2269" w:type="dxa"/>
            <w:gridSpan w:val="2"/>
            <w:shd w:val="clear" w:color="auto" w:fill="FFFFFF" w:themeFill="background1"/>
          </w:tcPr>
          <w:p w:rsidR="00BF5047" w:rsidRDefault="00BF5047" w:rsidP="00FA200D">
            <w:pPr>
              <w:shd w:val="clear" w:color="auto" w:fill="FFFFFF" w:themeFill="background1"/>
              <w:spacing w:line="276" w:lineRule="auto"/>
              <w:ind w:right="176"/>
              <w:rPr>
                <w:sz w:val="20"/>
                <w:szCs w:val="20"/>
              </w:rPr>
            </w:pPr>
            <w:r w:rsidRPr="00D25B65">
              <w:rPr>
                <w:b/>
                <w:sz w:val="20"/>
                <w:szCs w:val="20"/>
              </w:rPr>
              <w:t xml:space="preserve">Herr </w:t>
            </w:r>
            <w:r>
              <w:rPr>
                <w:b/>
                <w:sz w:val="20"/>
                <w:szCs w:val="20"/>
              </w:rPr>
              <w:t>Markus St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cher</w:t>
            </w:r>
            <w:r w:rsidRPr="00D25B65">
              <w:rPr>
                <w:sz w:val="20"/>
                <w:szCs w:val="20"/>
              </w:rPr>
              <w:t xml:space="preserve"> </w:t>
            </w:r>
          </w:p>
          <w:p w:rsidR="00BF5047" w:rsidRDefault="00BF5047" w:rsidP="00FA200D">
            <w:pPr>
              <w:shd w:val="clear" w:color="auto" w:fill="FFFFFF" w:themeFill="background1"/>
              <w:spacing w:line="276" w:lineRule="auto"/>
              <w:ind w:right="17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SoS</w:t>
            </w:r>
            <w:proofErr w:type="spellEnd"/>
            <w:r>
              <w:rPr>
                <w:b/>
                <w:sz w:val="20"/>
                <w:szCs w:val="20"/>
              </w:rPr>
              <w:t xml:space="preserve"> Freiburg </w:t>
            </w:r>
          </w:p>
          <w:p w:rsidR="00BF5047" w:rsidRPr="00FA200D" w:rsidRDefault="00BF5047" w:rsidP="00FA200D">
            <w:pPr>
              <w:shd w:val="clear" w:color="auto" w:fill="FFFFFF" w:themeFill="background1"/>
              <w:spacing w:line="276" w:lineRule="auto"/>
              <w:ind w:right="176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F5047" w:rsidRDefault="00BF5047" w:rsidP="00FA200D">
            <w:pPr>
              <w:shd w:val="clear" w:color="auto" w:fill="FFFFFF" w:themeFill="background1"/>
              <w:ind w:right="176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Herr </w:t>
            </w:r>
            <w:r w:rsidRPr="005C11E9">
              <w:rPr>
                <w:b/>
                <w:sz w:val="20"/>
                <w:szCs w:val="20"/>
              </w:rPr>
              <w:t xml:space="preserve">Manuel Binder </w:t>
            </w:r>
          </w:p>
          <w:p w:rsidR="00BF5047" w:rsidRDefault="00BF5047" w:rsidP="00FA200D">
            <w:pPr>
              <w:shd w:val="clear" w:color="auto" w:fill="FFFFFF" w:themeFill="background1"/>
              <w:ind w:right="17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SoS</w:t>
            </w:r>
            <w:proofErr w:type="spellEnd"/>
            <w:r>
              <w:rPr>
                <w:b/>
                <w:sz w:val="20"/>
                <w:szCs w:val="20"/>
              </w:rPr>
              <w:t xml:space="preserve"> Freiburg</w:t>
            </w:r>
          </w:p>
          <w:p w:rsidR="00BF5047" w:rsidRPr="00FA200D" w:rsidRDefault="00BF5047" w:rsidP="00FA200D">
            <w:pPr>
              <w:shd w:val="clear" w:color="auto" w:fill="FFFFFF" w:themeFill="background1"/>
              <w:ind w:right="176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5047" w:rsidRDefault="00BF5047" w:rsidP="00FA200D">
            <w:pPr>
              <w:tabs>
                <w:tab w:val="left" w:pos="1418"/>
              </w:tabs>
              <w:spacing w:line="276" w:lineRule="auto"/>
              <w:ind w:right="176"/>
              <w:rPr>
                <w:b/>
                <w:sz w:val="20"/>
                <w:szCs w:val="20"/>
              </w:rPr>
            </w:pPr>
            <w:r w:rsidRPr="004D253B">
              <w:rPr>
                <w:b/>
                <w:sz w:val="20"/>
                <w:szCs w:val="20"/>
              </w:rPr>
              <w:t xml:space="preserve">Frau Silke </w:t>
            </w:r>
            <w:proofErr w:type="spellStart"/>
            <w:r w:rsidRPr="004D253B">
              <w:rPr>
                <w:b/>
                <w:sz w:val="20"/>
                <w:szCs w:val="20"/>
              </w:rPr>
              <w:t>Furt</w:t>
            </w:r>
            <w:r w:rsidRPr="004D253B">
              <w:rPr>
                <w:b/>
                <w:sz w:val="20"/>
                <w:szCs w:val="20"/>
              </w:rPr>
              <w:t>h</w:t>
            </w:r>
            <w:r w:rsidRPr="004D253B">
              <w:rPr>
                <w:b/>
                <w:sz w:val="20"/>
                <w:szCs w:val="20"/>
              </w:rPr>
              <w:t>mann</w:t>
            </w:r>
            <w:proofErr w:type="spellEnd"/>
            <w:r w:rsidRPr="004D253B">
              <w:rPr>
                <w:b/>
                <w:sz w:val="20"/>
                <w:szCs w:val="20"/>
              </w:rPr>
              <w:t>, RP Fre</w:t>
            </w:r>
            <w:r w:rsidRPr="004D253B">
              <w:rPr>
                <w:b/>
                <w:sz w:val="20"/>
                <w:szCs w:val="20"/>
              </w:rPr>
              <w:t>i</w:t>
            </w:r>
            <w:r w:rsidRPr="004D253B">
              <w:rPr>
                <w:b/>
                <w:sz w:val="20"/>
                <w:szCs w:val="20"/>
              </w:rPr>
              <w:t>burg</w:t>
            </w:r>
          </w:p>
          <w:p w:rsidR="00BF5047" w:rsidRPr="00FA200D" w:rsidRDefault="00BF5047" w:rsidP="00FA200D">
            <w:pPr>
              <w:tabs>
                <w:tab w:val="left" w:pos="1418"/>
              </w:tabs>
              <w:spacing w:line="276" w:lineRule="auto"/>
              <w:ind w:right="176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F5047" w:rsidRPr="008A6CDF" w:rsidRDefault="00BF5047" w:rsidP="00FA200D">
            <w:pPr>
              <w:spacing w:line="276" w:lineRule="auto"/>
              <w:ind w:right="176"/>
              <w:rPr>
                <w:sz w:val="20"/>
                <w:szCs w:val="20"/>
              </w:rPr>
            </w:pPr>
            <w:r w:rsidRPr="008A6CDF">
              <w:rPr>
                <w:b/>
                <w:sz w:val="20"/>
                <w:szCs w:val="20"/>
              </w:rPr>
              <w:t>Frau Ursula Müller</w:t>
            </w:r>
            <w:r w:rsidRPr="008A6CDF">
              <w:rPr>
                <w:sz w:val="20"/>
                <w:szCs w:val="20"/>
              </w:rPr>
              <w:t xml:space="preserve"> </w:t>
            </w:r>
          </w:p>
          <w:p w:rsidR="00BF5047" w:rsidRPr="008A6CDF" w:rsidRDefault="00BF5047" w:rsidP="00FA200D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  <w:r w:rsidRPr="008A6CDF">
              <w:rPr>
                <w:sz w:val="20"/>
                <w:szCs w:val="20"/>
              </w:rPr>
              <w:t xml:space="preserve">und </w:t>
            </w:r>
            <w:r>
              <w:rPr>
                <w:b/>
                <w:sz w:val="20"/>
                <w:szCs w:val="20"/>
              </w:rPr>
              <w:t>Frau Sabrina Zi</w:t>
            </w: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mer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BF5047" w:rsidRDefault="00BF5047" w:rsidP="007539B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Frau Knab, SL  Karl-Wacker-Schule SBBZ</w:t>
            </w:r>
          </w:p>
          <w:p w:rsidR="00BF5047" w:rsidRDefault="00BF5047" w:rsidP="007539B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F5047" w:rsidRPr="009F3B2F" w:rsidRDefault="00BF5047" w:rsidP="007539BC">
            <w:pPr>
              <w:spacing w:line="276" w:lineRule="auto"/>
              <w:rPr>
                <w:b/>
                <w:sz w:val="20"/>
                <w:szCs w:val="20"/>
              </w:rPr>
            </w:pPr>
            <w:r w:rsidRPr="009F3B2F">
              <w:rPr>
                <w:b/>
                <w:sz w:val="20"/>
                <w:szCs w:val="20"/>
              </w:rPr>
              <w:t>Frau Wieser und Frau Vogel</w:t>
            </w:r>
            <w:r>
              <w:rPr>
                <w:b/>
                <w:sz w:val="20"/>
                <w:szCs w:val="20"/>
              </w:rPr>
              <w:t>,</w:t>
            </w:r>
          </w:p>
          <w:p w:rsidR="00BF5047" w:rsidRPr="009F3B2F" w:rsidRDefault="00BF5047" w:rsidP="00AD561E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1C7866">
              <w:rPr>
                <w:b/>
                <w:sz w:val="20"/>
                <w:szCs w:val="20"/>
              </w:rPr>
              <w:t xml:space="preserve">Konstanz </w:t>
            </w:r>
            <w:proofErr w:type="spellStart"/>
            <w:r w:rsidRPr="001C7866">
              <w:rPr>
                <w:b/>
                <w:sz w:val="20"/>
                <w:szCs w:val="20"/>
              </w:rPr>
              <w:t>Gebhardschule</w:t>
            </w:r>
            <w:proofErr w:type="spellEnd"/>
          </w:p>
        </w:tc>
      </w:tr>
      <w:tr w:rsidR="00BF5047" w:rsidTr="00BF5047">
        <w:trPr>
          <w:trHeight w:val="275"/>
        </w:trPr>
        <w:tc>
          <w:tcPr>
            <w:tcW w:w="2269" w:type="dxa"/>
            <w:gridSpan w:val="2"/>
            <w:shd w:val="clear" w:color="auto" w:fill="FFFFFF" w:themeFill="background1"/>
          </w:tcPr>
          <w:p w:rsidR="00BF5047" w:rsidRPr="00FA200D" w:rsidRDefault="00BF5047" w:rsidP="00FA200D">
            <w:pPr>
              <w:shd w:val="clear" w:color="auto" w:fill="FFFFFF" w:themeFill="background1"/>
              <w:spacing w:line="276" w:lineRule="auto"/>
              <w:ind w:right="176"/>
              <w:jc w:val="center"/>
              <w:rPr>
                <w:b/>
                <w:color w:val="00B050"/>
                <w:sz w:val="28"/>
                <w:szCs w:val="28"/>
              </w:rPr>
            </w:pPr>
            <w:r w:rsidRPr="00FA200D">
              <w:rPr>
                <w:b/>
                <w:color w:val="00B050"/>
                <w:sz w:val="28"/>
                <w:szCs w:val="28"/>
              </w:rPr>
              <w:t>Konvikt</w:t>
            </w:r>
          </w:p>
          <w:p w:rsidR="00BF5047" w:rsidRPr="00FA200D" w:rsidRDefault="00BF5047" w:rsidP="00FA200D">
            <w:pPr>
              <w:shd w:val="clear" w:color="auto" w:fill="FFFFFF" w:themeFill="background1"/>
              <w:spacing w:line="276" w:lineRule="auto"/>
              <w:ind w:right="176"/>
              <w:jc w:val="center"/>
              <w:rPr>
                <w:b/>
                <w:sz w:val="22"/>
              </w:rPr>
            </w:pPr>
            <w:r w:rsidRPr="00FA200D">
              <w:rPr>
                <w:b/>
                <w:color w:val="00B050"/>
                <w:sz w:val="22"/>
              </w:rPr>
              <w:t>Nebengebäude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F5047" w:rsidRPr="00FA200D" w:rsidRDefault="00BF5047" w:rsidP="00FA200D">
            <w:pPr>
              <w:ind w:right="176"/>
              <w:jc w:val="center"/>
              <w:rPr>
                <w:b/>
                <w:color w:val="00B050"/>
                <w:sz w:val="28"/>
                <w:szCs w:val="28"/>
              </w:rPr>
            </w:pPr>
            <w:r w:rsidRPr="00FA200D">
              <w:rPr>
                <w:b/>
                <w:color w:val="00B050"/>
                <w:sz w:val="28"/>
                <w:szCs w:val="28"/>
              </w:rPr>
              <w:t>K 307</w:t>
            </w:r>
          </w:p>
          <w:p w:rsidR="00BF5047" w:rsidRPr="00FA200D" w:rsidRDefault="00BF5047" w:rsidP="00FA200D">
            <w:pPr>
              <w:shd w:val="clear" w:color="auto" w:fill="FFFFFF" w:themeFill="background1"/>
              <w:ind w:right="1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5047" w:rsidRPr="00FA200D" w:rsidRDefault="00BF5047" w:rsidP="00FA200D">
            <w:pPr>
              <w:ind w:right="176"/>
              <w:jc w:val="center"/>
              <w:rPr>
                <w:b/>
                <w:color w:val="00B050"/>
                <w:sz w:val="28"/>
                <w:szCs w:val="28"/>
              </w:rPr>
            </w:pPr>
            <w:r w:rsidRPr="00FA200D">
              <w:rPr>
                <w:b/>
                <w:color w:val="00B050"/>
                <w:sz w:val="28"/>
                <w:szCs w:val="28"/>
              </w:rPr>
              <w:t>K 009</w:t>
            </w:r>
          </w:p>
          <w:p w:rsidR="00BF5047" w:rsidRPr="00FA200D" w:rsidRDefault="00BF5047" w:rsidP="00FA200D">
            <w:pPr>
              <w:tabs>
                <w:tab w:val="left" w:pos="1418"/>
              </w:tabs>
              <w:spacing w:line="276" w:lineRule="auto"/>
              <w:ind w:right="1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F5047" w:rsidRPr="00FA200D" w:rsidRDefault="00BF5047" w:rsidP="00FA200D">
            <w:pPr>
              <w:spacing w:line="276" w:lineRule="auto"/>
              <w:ind w:right="176"/>
              <w:jc w:val="center"/>
              <w:rPr>
                <w:b/>
                <w:color w:val="00B050"/>
                <w:sz w:val="28"/>
                <w:szCs w:val="28"/>
              </w:rPr>
            </w:pPr>
            <w:r w:rsidRPr="00FA200D">
              <w:rPr>
                <w:b/>
                <w:color w:val="00B050"/>
                <w:sz w:val="28"/>
                <w:szCs w:val="28"/>
              </w:rPr>
              <w:t>Festsaal der Gymnasien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BF5047" w:rsidRPr="00FA200D" w:rsidRDefault="00BF5047" w:rsidP="007539B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A200D">
              <w:rPr>
                <w:b/>
                <w:color w:val="00B050"/>
                <w:sz w:val="28"/>
                <w:szCs w:val="28"/>
              </w:rPr>
              <w:t>K 212</w:t>
            </w:r>
          </w:p>
          <w:p w:rsidR="00BF5047" w:rsidRDefault="00BF5047" w:rsidP="007539B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F5047" w:rsidRPr="0073239B" w:rsidRDefault="00BF5047" w:rsidP="007539B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3239B">
              <w:rPr>
                <w:b/>
                <w:color w:val="00B050"/>
                <w:sz w:val="28"/>
                <w:szCs w:val="28"/>
              </w:rPr>
              <w:t>N 1</w:t>
            </w:r>
          </w:p>
          <w:p w:rsidR="00BF5047" w:rsidRPr="009F3B2F" w:rsidRDefault="00BF5047" w:rsidP="007539B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F5047" w:rsidTr="00BF5047">
        <w:trPr>
          <w:trHeight w:val="275"/>
        </w:trPr>
        <w:tc>
          <w:tcPr>
            <w:tcW w:w="2269" w:type="dxa"/>
            <w:gridSpan w:val="2"/>
            <w:shd w:val="clear" w:color="auto" w:fill="FFFFFF" w:themeFill="background1"/>
          </w:tcPr>
          <w:p w:rsidR="00BF5047" w:rsidRPr="00AD561E" w:rsidRDefault="00BF5047" w:rsidP="00FA200D">
            <w:pPr>
              <w:shd w:val="clear" w:color="auto" w:fill="FFFFFF" w:themeFill="background1"/>
              <w:spacing w:line="276" w:lineRule="auto"/>
              <w:ind w:right="176"/>
              <w:jc w:val="center"/>
              <w:rPr>
                <w:b/>
                <w:color w:val="0070C0"/>
                <w:szCs w:val="24"/>
              </w:rPr>
            </w:pPr>
            <w:r>
              <w:rPr>
                <w:b/>
                <w:color w:val="0070C0"/>
                <w:szCs w:val="24"/>
              </w:rPr>
              <w:t xml:space="preserve">28 </w:t>
            </w:r>
            <w:r w:rsidRPr="00AD561E">
              <w:rPr>
                <w:b/>
                <w:color w:val="0070C0"/>
                <w:szCs w:val="24"/>
              </w:rPr>
              <w:t>Personen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F5047" w:rsidRPr="00FA200D" w:rsidRDefault="00BF5047" w:rsidP="00FA200D">
            <w:pPr>
              <w:ind w:right="176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70C0"/>
                <w:szCs w:val="24"/>
              </w:rPr>
              <w:t xml:space="preserve">30 </w:t>
            </w:r>
            <w:r w:rsidRPr="00AD561E">
              <w:rPr>
                <w:b/>
                <w:color w:val="0070C0"/>
                <w:szCs w:val="24"/>
              </w:rPr>
              <w:t>Personen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5047" w:rsidRPr="00FA200D" w:rsidRDefault="00BF5047" w:rsidP="00FA200D">
            <w:pPr>
              <w:ind w:right="176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70C0"/>
                <w:szCs w:val="24"/>
              </w:rPr>
              <w:t xml:space="preserve">24 </w:t>
            </w:r>
            <w:r w:rsidRPr="00AD561E">
              <w:rPr>
                <w:b/>
                <w:color w:val="0070C0"/>
                <w:szCs w:val="24"/>
              </w:rPr>
              <w:t>Personen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F5047" w:rsidRPr="00FA200D" w:rsidRDefault="00BF5047" w:rsidP="00FA200D">
            <w:pPr>
              <w:spacing w:line="276" w:lineRule="auto"/>
              <w:ind w:right="176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70C0"/>
                <w:szCs w:val="24"/>
              </w:rPr>
              <w:t xml:space="preserve">36 </w:t>
            </w:r>
            <w:r w:rsidRPr="00AD561E">
              <w:rPr>
                <w:b/>
                <w:color w:val="0070C0"/>
                <w:szCs w:val="24"/>
              </w:rPr>
              <w:t>Personen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BF5047" w:rsidRPr="00FA200D" w:rsidRDefault="00BF5047" w:rsidP="00BF50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70C0"/>
                <w:szCs w:val="24"/>
              </w:rPr>
              <w:t xml:space="preserve">15 </w:t>
            </w:r>
            <w:r w:rsidRPr="00AD561E">
              <w:rPr>
                <w:b/>
                <w:color w:val="0070C0"/>
                <w:szCs w:val="24"/>
              </w:rPr>
              <w:t>Personen</w:t>
            </w:r>
          </w:p>
        </w:tc>
        <w:tc>
          <w:tcPr>
            <w:tcW w:w="2977" w:type="dxa"/>
            <w:shd w:val="clear" w:color="auto" w:fill="FFFFFF" w:themeFill="background1"/>
          </w:tcPr>
          <w:p w:rsidR="00BF5047" w:rsidRPr="0073239B" w:rsidRDefault="00BF5047" w:rsidP="007539B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70C0"/>
                <w:szCs w:val="24"/>
              </w:rPr>
              <w:t xml:space="preserve"> 19 </w:t>
            </w:r>
            <w:r w:rsidRPr="00AD561E">
              <w:rPr>
                <w:b/>
                <w:color w:val="0070C0"/>
                <w:szCs w:val="24"/>
              </w:rPr>
              <w:t>Personen</w:t>
            </w:r>
          </w:p>
        </w:tc>
      </w:tr>
      <w:tr w:rsidR="00BF5047" w:rsidTr="00BF5047">
        <w:trPr>
          <w:trHeight w:val="275"/>
        </w:trPr>
        <w:tc>
          <w:tcPr>
            <w:tcW w:w="2269" w:type="dxa"/>
            <w:gridSpan w:val="2"/>
            <w:shd w:val="clear" w:color="auto" w:fill="FFFFFF" w:themeFill="background1"/>
          </w:tcPr>
          <w:p w:rsidR="00BF5047" w:rsidRPr="0073239B" w:rsidRDefault="00BF5047" w:rsidP="00FA200D">
            <w:pPr>
              <w:tabs>
                <w:tab w:val="left" w:pos="1418"/>
              </w:tabs>
              <w:spacing w:line="276" w:lineRule="auto"/>
              <w:ind w:right="176"/>
              <w:rPr>
                <w:b/>
                <w:sz w:val="20"/>
                <w:szCs w:val="20"/>
              </w:rPr>
            </w:pPr>
            <w:proofErr w:type="spellStart"/>
            <w:r w:rsidRPr="0073239B">
              <w:rPr>
                <w:b/>
                <w:sz w:val="20"/>
                <w:szCs w:val="20"/>
              </w:rPr>
              <w:t>Gelingensfaktoren</w:t>
            </w:r>
            <w:proofErr w:type="spellEnd"/>
            <w:r w:rsidRPr="0073239B">
              <w:rPr>
                <w:b/>
                <w:sz w:val="20"/>
                <w:szCs w:val="20"/>
              </w:rPr>
              <w:t xml:space="preserve"> für die Ausgesta</w:t>
            </w:r>
            <w:r w:rsidRPr="0073239B">
              <w:rPr>
                <w:b/>
                <w:sz w:val="20"/>
                <w:szCs w:val="20"/>
              </w:rPr>
              <w:t>l</w:t>
            </w:r>
            <w:r w:rsidRPr="0073239B">
              <w:rPr>
                <w:b/>
                <w:sz w:val="20"/>
                <w:szCs w:val="20"/>
              </w:rPr>
              <w:t>tung inklusiver Bildungsangebote</w:t>
            </w:r>
          </w:p>
          <w:p w:rsidR="00BF5047" w:rsidRPr="00A81BB9" w:rsidRDefault="00BF5047" w:rsidP="00FA200D">
            <w:pPr>
              <w:pStyle w:val="Listenabsatz"/>
              <w:numPr>
                <w:ilvl w:val="0"/>
                <w:numId w:val="6"/>
              </w:numPr>
              <w:tabs>
                <w:tab w:val="left" w:pos="1418"/>
              </w:tabs>
              <w:spacing w:line="276" w:lineRule="auto"/>
              <w:ind w:right="176"/>
              <w:rPr>
                <w:sz w:val="20"/>
                <w:szCs w:val="20"/>
              </w:rPr>
            </w:pPr>
            <w:proofErr w:type="spellStart"/>
            <w:r w:rsidRPr="00A81BB9">
              <w:rPr>
                <w:sz w:val="20"/>
                <w:szCs w:val="20"/>
              </w:rPr>
              <w:t>Gelingensfakt</w:t>
            </w:r>
            <w:r w:rsidRPr="00A81BB9">
              <w:rPr>
                <w:sz w:val="20"/>
                <w:szCs w:val="20"/>
              </w:rPr>
              <w:t>o</w:t>
            </w:r>
            <w:r w:rsidRPr="00A81BB9">
              <w:rPr>
                <w:sz w:val="20"/>
                <w:szCs w:val="20"/>
              </w:rPr>
              <w:t>ren</w:t>
            </w:r>
            <w:proofErr w:type="spellEnd"/>
            <w:r w:rsidRPr="00A81BB9">
              <w:rPr>
                <w:sz w:val="20"/>
                <w:szCs w:val="20"/>
              </w:rPr>
              <w:t xml:space="preserve"> für inklusive Bildungsangeb</w:t>
            </w:r>
            <w:r w:rsidRPr="00A81BB9">
              <w:rPr>
                <w:sz w:val="20"/>
                <w:szCs w:val="20"/>
              </w:rPr>
              <w:t>o</w:t>
            </w:r>
            <w:r w:rsidRPr="00A81BB9">
              <w:rPr>
                <w:sz w:val="20"/>
                <w:szCs w:val="20"/>
              </w:rPr>
              <w:t>te</w:t>
            </w:r>
          </w:p>
          <w:p w:rsidR="00BF5047" w:rsidRPr="00A81BB9" w:rsidRDefault="00BF5047" w:rsidP="00FA200D">
            <w:pPr>
              <w:pStyle w:val="Listenabsatz"/>
              <w:numPr>
                <w:ilvl w:val="0"/>
                <w:numId w:val="6"/>
              </w:numPr>
              <w:tabs>
                <w:tab w:val="left" w:pos="1418"/>
              </w:tabs>
              <w:spacing w:line="276" w:lineRule="auto"/>
              <w:ind w:right="176"/>
              <w:rPr>
                <w:sz w:val="20"/>
                <w:szCs w:val="20"/>
              </w:rPr>
            </w:pPr>
            <w:r w:rsidRPr="00A81BB9">
              <w:rPr>
                <w:sz w:val="20"/>
                <w:szCs w:val="20"/>
              </w:rPr>
              <w:t>verschiedene Kooperation</w:t>
            </w:r>
            <w:r w:rsidRPr="00A81BB9">
              <w:rPr>
                <w:sz w:val="20"/>
                <w:szCs w:val="20"/>
              </w:rPr>
              <w:t>s</w:t>
            </w:r>
            <w:r w:rsidRPr="00A81BB9">
              <w:rPr>
                <w:sz w:val="20"/>
                <w:szCs w:val="20"/>
              </w:rPr>
              <w:t>modelle in inkl</w:t>
            </w:r>
            <w:r w:rsidRPr="00A81BB9">
              <w:rPr>
                <w:sz w:val="20"/>
                <w:szCs w:val="20"/>
              </w:rPr>
              <w:t>u</w:t>
            </w:r>
            <w:r w:rsidRPr="00A81BB9">
              <w:rPr>
                <w:sz w:val="20"/>
                <w:szCs w:val="20"/>
              </w:rPr>
              <w:t>siven Bildung</w:t>
            </w:r>
            <w:r w:rsidRPr="00A81BB9">
              <w:rPr>
                <w:sz w:val="20"/>
                <w:szCs w:val="20"/>
              </w:rPr>
              <w:t>s</w:t>
            </w:r>
            <w:r w:rsidRPr="00A81BB9">
              <w:rPr>
                <w:sz w:val="20"/>
                <w:szCs w:val="20"/>
              </w:rPr>
              <w:t>angeboten</w:t>
            </w:r>
          </w:p>
          <w:p w:rsidR="00BF5047" w:rsidRPr="00A81BB9" w:rsidRDefault="00BF5047" w:rsidP="00FA200D">
            <w:pPr>
              <w:pStyle w:val="Listenabsatz"/>
              <w:numPr>
                <w:ilvl w:val="0"/>
                <w:numId w:val="6"/>
              </w:numPr>
              <w:tabs>
                <w:tab w:val="left" w:pos="1418"/>
              </w:tabs>
              <w:spacing w:line="276" w:lineRule="auto"/>
              <w:ind w:right="176"/>
              <w:rPr>
                <w:sz w:val="20"/>
                <w:szCs w:val="20"/>
              </w:rPr>
            </w:pPr>
            <w:r w:rsidRPr="00A81BB9">
              <w:rPr>
                <w:sz w:val="20"/>
                <w:szCs w:val="20"/>
              </w:rPr>
              <w:t>Lernsituationen</w:t>
            </w:r>
          </w:p>
          <w:p w:rsidR="00BF5047" w:rsidRPr="00A81BB9" w:rsidRDefault="00BF5047" w:rsidP="00FA200D">
            <w:pPr>
              <w:pStyle w:val="Listenabsatz"/>
              <w:numPr>
                <w:ilvl w:val="0"/>
                <w:numId w:val="6"/>
              </w:numPr>
              <w:tabs>
                <w:tab w:val="left" w:pos="1418"/>
              </w:tabs>
              <w:spacing w:line="276" w:lineRule="auto"/>
              <w:ind w:right="176"/>
              <w:rPr>
                <w:b/>
                <w:sz w:val="20"/>
                <w:szCs w:val="20"/>
              </w:rPr>
            </w:pPr>
            <w:r w:rsidRPr="00A81BB9">
              <w:rPr>
                <w:sz w:val="20"/>
                <w:szCs w:val="20"/>
              </w:rPr>
              <w:t>Zuständigkeiten und Verantwor</w:t>
            </w:r>
            <w:r w:rsidRPr="00A81BB9">
              <w:rPr>
                <w:sz w:val="20"/>
                <w:szCs w:val="20"/>
              </w:rPr>
              <w:t>t</w:t>
            </w:r>
            <w:r w:rsidRPr="00A81BB9">
              <w:rPr>
                <w:sz w:val="20"/>
                <w:szCs w:val="20"/>
              </w:rPr>
              <w:t>lichkeiten von Lehrkräften der allgemeinen Schulen und von Sonderpädag</w:t>
            </w:r>
            <w:r w:rsidRPr="00A81BB9">
              <w:rPr>
                <w:sz w:val="20"/>
                <w:szCs w:val="20"/>
              </w:rPr>
              <w:t>o</w:t>
            </w:r>
            <w:r w:rsidRPr="00A81BB9">
              <w:rPr>
                <w:sz w:val="20"/>
                <w:szCs w:val="20"/>
              </w:rPr>
              <w:t>gen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F5047" w:rsidRPr="0073239B" w:rsidRDefault="00BF5047" w:rsidP="00FA200D">
            <w:pPr>
              <w:tabs>
                <w:tab w:val="center" w:pos="4536"/>
                <w:tab w:val="right" w:pos="9072"/>
              </w:tabs>
              <w:ind w:right="176"/>
              <w:rPr>
                <w:b/>
                <w:sz w:val="20"/>
                <w:szCs w:val="20"/>
              </w:rPr>
            </w:pPr>
            <w:r w:rsidRPr="0073239B">
              <w:rPr>
                <w:b/>
                <w:sz w:val="20"/>
                <w:szCs w:val="20"/>
              </w:rPr>
              <w:t>Herausforderndes Verhalten aus unte</w:t>
            </w:r>
            <w:r w:rsidRPr="0073239B">
              <w:rPr>
                <w:b/>
                <w:sz w:val="20"/>
                <w:szCs w:val="20"/>
              </w:rPr>
              <w:t>r</w:t>
            </w:r>
            <w:r w:rsidRPr="0073239B">
              <w:rPr>
                <w:b/>
                <w:sz w:val="20"/>
                <w:szCs w:val="20"/>
              </w:rPr>
              <w:t>schiedlichen Pe</w:t>
            </w:r>
            <w:r w:rsidRPr="0073239B">
              <w:rPr>
                <w:b/>
                <w:sz w:val="20"/>
                <w:szCs w:val="20"/>
              </w:rPr>
              <w:t>r</w:t>
            </w:r>
            <w:r w:rsidRPr="0073239B">
              <w:rPr>
                <w:b/>
                <w:sz w:val="20"/>
                <w:szCs w:val="20"/>
              </w:rPr>
              <w:t>spektiven beleuc</w:t>
            </w:r>
            <w:r w:rsidRPr="0073239B">
              <w:rPr>
                <w:b/>
                <w:sz w:val="20"/>
                <w:szCs w:val="20"/>
              </w:rPr>
              <w:t>h</w:t>
            </w:r>
            <w:r w:rsidRPr="0073239B">
              <w:rPr>
                <w:b/>
                <w:sz w:val="20"/>
                <w:szCs w:val="20"/>
              </w:rPr>
              <w:t>ten</w:t>
            </w:r>
          </w:p>
          <w:p w:rsidR="00BF5047" w:rsidRPr="001C7866" w:rsidRDefault="00BF5047" w:rsidP="00FA200D">
            <w:pPr>
              <w:tabs>
                <w:tab w:val="center" w:pos="4536"/>
                <w:tab w:val="right" w:pos="9072"/>
              </w:tabs>
              <w:ind w:right="176"/>
              <w:rPr>
                <w:sz w:val="20"/>
                <w:szCs w:val="20"/>
              </w:rPr>
            </w:pPr>
            <w:r w:rsidRPr="001C7866">
              <w:rPr>
                <w:sz w:val="20"/>
                <w:szCs w:val="20"/>
              </w:rPr>
              <w:t>Verhalten beschre</w:t>
            </w:r>
            <w:r w:rsidRPr="001C7866">
              <w:rPr>
                <w:sz w:val="20"/>
                <w:szCs w:val="20"/>
              </w:rPr>
              <w:t>i</w:t>
            </w:r>
            <w:r w:rsidRPr="001C7866">
              <w:rPr>
                <w:sz w:val="20"/>
                <w:szCs w:val="20"/>
              </w:rPr>
              <w:t>ben, Verhalten erkl</w:t>
            </w:r>
            <w:r w:rsidRPr="001C7866">
              <w:rPr>
                <w:sz w:val="20"/>
                <w:szCs w:val="20"/>
              </w:rPr>
              <w:t>ä</w:t>
            </w:r>
            <w:r w:rsidRPr="001C7866">
              <w:rPr>
                <w:sz w:val="20"/>
                <w:szCs w:val="20"/>
              </w:rPr>
              <w:t>ren, Verhalten bege</w:t>
            </w:r>
            <w:r w:rsidRPr="001C7866">
              <w:rPr>
                <w:sz w:val="20"/>
                <w:szCs w:val="20"/>
              </w:rPr>
              <w:t>g</w:t>
            </w:r>
            <w:r w:rsidRPr="001C7866">
              <w:rPr>
                <w:sz w:val="20"/>
                <w:szCs w:val="20"/>
              </w:rPr>
              <w:t>nen, Verhalten verä</w:t>
            </w:r>
            <w:r w:rsidRPr="001C7866">
              <w:rPr>
                <w:sz w:val="20"/>
                <w:szCs w:val="20"/>
              </w:rPr>
              <w:t>n</w:t>
            </w:r>
            <w:r w:rsidRPr="001C7866">
              <w:rPr>
                <w:sz w:val="20"/>
                <w:szCs w:val="20"/>
              </w:rPr>
              <w:t xml:space="preserve">dern. </w:t>
            </w:r>
          </w:p>
          <w:p w:rsidR="00BF5047" w:rsidRPr="001C7866" w:rsidRDefault="00BF5047" w:rsidP="00FA200D">
            <w:pPr>
              <w:tabs>
                <w:tab w:val="center" w:pos="4536"/>
                <w:tab w:val="right" w:pos="9072"/>
              </w:tabs>
              <w:ind w:right="176"/>
              <w:rPr>
                <w:sz w:val="20"/>
                <w:szCs w:val="20"/>
              </w:rPr>
            </w:pPr>
            <w:r w:rsidRPr="001C7866">
              <w:rPr>
                <w:sz w:val="20"/>
                <w:szCs w:val="20"/>
              </w:rPr>
              <w:t>Aus diesen vier Ric</w:t>
            </w:r>
            <w:r w:rsidRPr="001C7866">
              <w:rPr>
                <w:sz w:val="20"/>
                <w:szCs w:val="20"/>
              </w:rPr>
              <w:t>h</w:t>
            </w:r>
            <w:r w:rsidRPr="001C7866">
              <w:rPr>
                <w:sz w:val="20"/>
                <w:szCs w:val="20"/>
              </w:rPr>
              <w:t>tungen wollen wir herausforderndes Verhalten betrachten und mögliche Ideen für den Alltag ableiten. Dabei sollen auch konkrete „Fälle“ ei</w:t>
            </w:r>
            <w:r w:rsidRPr="001C7866">
              <w:rPr>
                <w:sz w:val="20"/>
                <w:szCs w:val="20"/>
              </w:rPr>
              <w:t>n</w:t>
            </w:r>
            <w:r w:rsidRPr="001C7866">
              <w:rPr>
                <w:sz w:val="20"/>
                <w:szCs w:val="20"/>
              </w:rPr>
              <w:t>gebracht werden kö</w:t>
            </w:r>
            <w:r w:rsidRPr="001C7866">
              <w:rPr>
                <w:sz w:val="20"/>
                <w:szCs w:val="20"/>
              </w:rPr>
              <w:t>n</w:t>
            </w:r>
            <w:r w:rsidRPr="001C7866">
              <w:rPr>
                <w:sz w:val="20"/>
                <w:szCs w:val="20"/>
              </w:rPr>
              <w:t xml:space="preserve">nen um zu prüfen, welche Zugangsweise wann sinnvoll sein kann. </w:t>
            </w:r>
          </w:p>
          <w:p w:rsidR="00BF5047" w:rsidRDefault="00BF5047" w:rsidP="00FA200D">
            <w:pPr>
              <w:tabs>
                <w:tab w:val="center" w:pos="4536"/>
                <w:tab w:val="right" w:pos="9072"/>
              </w:tabs>
              <w:ind w:right="176"/>
              <w:rPr>
                <w:sz w:val="20"/>
                <w:szCs w:val="20"/>
              </w:rPr>
            </w:pPr>
            <w:r w:rsidRPr="001C7866">
              <w:rPr>
                <w:sz w:val="20"/>
                <w:szCs w:val="20"/>
              </w:rPr>
              <w:t>In einem Interakt</w:t>
            </w:r>
            <w:r w:rsidRPr="001C7866">
              <w:rPr>
                <w:sz w:val="20"/>
                <w:szCs w:val="20"/>
              </w:rPr>
              <w:t>i</w:t>
            </w:r>
            <w:r w:rsidRPr="001C7866">
              <w:rPr>
                <w:sz w:val="20"/>
                <w:szCs w:val="20"/>
              </w:rPr>
              <w:t>onsmodell werden die Ansätze zusamme</w:t>
            </w:r>
            <w:r w:rsidRPr="001C7866">
              <w:rPr>
                <w:sz w:val="20"/>
                <w:szCs w:val="20"/>
              </w:rPr>
              <w:t>n</w:t>
            </w:r>
            <w:r w:rsidRPr="001C7866">
              <w:rPr>
                <w:sz w:val="20"/>
                <w:szCs w:val="20"/>
              </w:rPr>
              <w:t xml:space="preserve">geführt und am Alltag reflektiert. </w:t>
            </w:r>
          </w:p>
          <w:p w:rsidR="00BF5047" w:rsidRPr="00FA200D" w:rsidRDefault="00BF5047" w:rsidP="00FA200D">
            <w:pPr>
              <w:tabs>
                <w:tab w:val="center" w:pos="4536"/>
                <w:tab w:val="right" w:pos="9072"/>
              </w:tabs>
              <w:ind w:right="176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F5047" w:rsidRPr="0073239B" w:rsidRDefault="00BF5047" w:rsidP="00FA200D">
            <w:pPr>
              <w:tabs>
                <w:tab w:val="left" w:pos="1418"/>
              </w:tabs>
              <w:spacing w:line="276" w:lineRule="auto"/>
              <w:ind w:right="176"/>
              <w:rPr>
                <w:sz w:val="20"/>
                <w:szCs w:val="20"/>
              </w:rPr>
            </w:pPr>
            <w:r w:rsidRPr="0073239B">
              <w:rPr>
                <w:b/>
                <w:sz w:val="20"/>
                <w:szCs w:val="20"/>
              </w:rPr>
              <w:t>Lernen an „inkl</w:t>
            </w:r>
            <w:r w:rsidRPr="0073239B">
              <w:rPr>
                <w:b/>
                <w:sz w:val="20"/>
                <w:szCs w:val="20"/>
              </w:rPr>
              <w:t>u</w:t>
            </w:r>
            <w:r w:rsidRPr="0073239B">
              <w:rPr>
                <w:b/>
                <w:sz w:val="20"/>
                <w:szCs w:val="20"/>
              </w:rPr>
              <w:t>siven“ Stationen</w:t>
            </w:r>
            <w:r w:rsidRPr="0073239B">
              <w:rPr>
                <w:sz w:val="20"/>
                <w:szCs w:val="20"/>
              </w:rPr>
              <w:t xml:space="preserve"> </w:t>
            </w:r>
            <w:r w:rsidRPr="0073239B">
              <w:rPr>
                <w:b/>
                <w:sz w:val="20"/>
                <w:szCs w:val="20"/>
              </w:rPr>
              <w:t>-Perspektivwec</w:t>
            </w:r>
            <w:r w:rsidRPr="0073239B">
              <w:rPr>
                <w:b/>
                <w:sz w:val="20"/>
                <w:szCs w:val="20"/>
              </w:rPr>
              <w:t>h</w:t>
            </w:r>
            <w:r w:rsidRPr="0073239B">
              <w:rPr>
                <w:b/>
                <w:sz w:val="20"/>
                <w:szCs w:val="20"/>
              </w:rPr>
              <w:t>sel und Reflexion der eigenen Ha</w:t>
            </w:r>
            <w:r w:rsidRPr="0073239B">
              <w:rPr>
                <w:b/>
                <w:sz w:val="20"/>
                <w:szCs w:val="20"/>
              </w:rPr>
              <w:t>l</w:t>
            </w:r>
            <w:r w:rsidRPr="0073239B">
              <w:rPr>
                <w:b/>
                <w:sz w:val="20"/>
                <w:szCs w:val="20"/>
              </w:rPr>
              <w:t>tung</w:t>
            </w:r>
          </w:p>
          <w:p w:rsidR="00BF5047" w:rsidRPr="005F00E9" w:rsidRDefault="00BF5047" w:rsidP="00FA200D">
            <w:pPr>
              <w:tabs>
                <w:tab w:val="center" w:pos="4536"/>
                <w:tab w:val="right" w:pos="9072"/>
              </w:tabs>
              <w:ind w:right="176"/>
              <w:rPr>
                <w:sz w:val="20"/>
                <w:szCs w:val="20"/>
              </w:rPr>
            </w:pPr>
            <w:r w:rsidRPr="005F00E9">
              <w:rPr>
                <w:sz w:val="20"/>
                <w:szCs w:val="20"/>
              </w:rPr>
              <w:t>Die Teilnehmer-innen erleben an unterschiedlichen Stationen spiel</w:t>
            </w:r>
            <w:r w:rsidRPr="005F00E9">
              <w:rPr>
                <w:sz w:val="20"/>
                <w:szCs w:val="20"/>
              </w:rPr>
              <w:t>e</w:t>
            </w:r>
            <w:r w:rsidRPr="005F00E9">
              <w:rPr>
                <w:sz w:val="20"/>
                <w:szCs w:val="20"/>
              </w:rPr>
              <w:t>risch, dass eine Beeinträchtigung der Sinne zum Perspektivwechsel anregt. Über die Reflexion der eig</w:t>
            </w:r>
            <w:r w:rsidRPr="005F00E9">
              <w:rPr>
                <w:sz w:val="20"/>
                <w:szCs w:val="20"/>
              </w:rPr>
              <w:t>e</w:t>
            </w:r>
            <w:r w:rsidRPr="005F00E9">
              <w:rPr>
                <w:sz w:val="20"/>
                <w:szCs w:val="20"/>
              </w:rPr>
              <w:t>nen Haltung g</w:t>
            </w:r>
            <w:r w:rsidRPr="005F00E9">
              <w:rPr>
                <w:sz w:val="20"/>
                <w:szCs w:val="20"/>
              </w:rPr>
              <w:t>e</w:t>
            </w:r>
            <w:r w:rsidRPr="005F00E9">
              <w:rPr>
                <w:sz w:val="20"/>
                <w:szCs w:val="20"/>
              </w:rPr>
              <w:t>winnen sie E</w:t>
            </w:r>
            <w:r w:rsidRPr="005F00E9">
              <w:rPr>
                <w:sz w:val="20"/>
                <w:szCs w:val="20"/>
              </w:rPr>
              <w:t>r</w:t>
            </w:r>
            <w:r w:rsidRPr="005F00E9">
              <w:rPr>
                <w:sz w:val="20"/>
                <w:szCs w:val="20"/>
              </w:rPr>
              <w:t>kenntnisse über diese als Schlü</w:t>
            </w:r>
            <w:r w:rsidRPr="005F00E9">
              <w:rPr>
                <w:sz w:val="20"/>
                <w:szCs w:val="20"/>
              </w:rPr>
              <w:t>s</w:t>
            </w:r>
            <w:r w:rsidRPr="005F00E9">
              <w:rPr>
                <w:sz w:val="20"/>
                <w:szCs w:val="20"/>
              </w:rPr>
              <w:t xml:space="preserve">selmoment für die Umsetzung der Inklusion. </w:t>
            </w:r>
          </w:p>
          <w:p w:rsidR="00BF5047" w:rsidRPr="00763853" w:rsidRDefault="00BF5047" w:rsidP="00FA200D">
            <w:pPr>
              <w:tabs>
                <w:tab w:val="left" w:pos="1418"/>
              </w:tabs>
              <w:spacing w:line="276" w:lineRule="auto"/>
              <w:ind w:right="176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F5047" w:rsidRPr="0073239B" w:rsidRDefault="00BF5047" w:rsidP="00FA200D">
            <w:pPr>
              <w:tabs>
                <w:tab w:val="center" w:pos="4536"/>
                <w:tab w:val="right" w:pos="9072"/>
              </w:tabs>
              <w:ind w:right="176"/>
              <w:rPr>
                <w:b/>
                <w:sz w:val="20"/>
                <w:szCs w:val="20"/>
              </w:rPr>
            </w:pPr>
            <w:r w:rsidRPr="0073239B">
              <w:rPr>
                <w:b/>
                <w:sz w:val="20"/>
                <w:szCs w:val="20"/>
              </w:rPr>
              <w:t>Schülerinnen und Sch</w:t>
            </w:r>
            <w:r w:rsidRPr="0073239B">
              <w:rPr>
                <w:b/>
                <w:sz w:val="20"/>
                <w:szCs w:val="20"/>
              </w:rPr>
              <w:t>ü</w:t>
            </w:r>
            <w:r w:rsidRPr="0073239B">
              <w:rPr>
                <w:b/>
                <w:sz w:val="20"/>
                <w:szCs w:val="20"/>
              </w:rPr>
              <w:t>ler mit einer Diagnose aus dem Autismus-Spektrum an der allg</w:t>
            </w:r>
            <w:r w:rsidRPr="0073239B">
              <w:rPr>
                <w:b/>
                <w:sz w:val="20"/>
                <w:szCs w:val="20"/>
              </w:rPr>
              <w:t>e</w:t>
            </w:r>
            <w:r w:rsidRPr="0073239B">
              <w:rPr>
                <w:b/>
                <w:sz w:val="20"/>
                <w:szCs w:val="20"/>
              </w:rPr>
              <w:t>meinen Schule</w:t>
            </w:r>
          </w:p>
          <w:p w:rsidR="00BF5047" w:rsidRPr="00850637" w:rsidRDefault="00BF5047" w:rsidP="00FA200D">
            <w:pPr>
              <w:pStyle w:val="Listenabsatz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right="176"/>
              <w:rPr>
                <w:sz w:val="20"/>
                <w:szCs w:val="20"/>
              </w:rPr>
            </w:pPr>
            <w:r w:rsidRPr="00850637">
              <w:rPr>
                <w:sz w:val="20"/>
                <w:szCs w:val="20"/>
              </w:rPr>
              <w:t>Wie kommt eine A</w:t>
            </w:r>
            <w:r w:rsidRPr="00850637">
              <w:rPr>
                <w:sz w:val="20"/>
                <w:szCs w:val="20"/>
              </w:rPr>
              <w:t>u</w:t>
            </w:r>
            <w:r w:rsidRPr="00850637">
              <w:rPr>
                <w:sz w:val="20"/>
                <w:szCs w:val="20"/>
              </w:rPr>
              <w:t>tismus- Diagnose zu Stande?</w:t>
            </w:r>
          </w:p>
          <w:p w:rsidR="00BF5047" w:rsidRPr="00850637" w:rsidRDefault="00BF5047" w:rsidP="00FA200D">
            <w:pPr>
              <w:pStyle w:val="Listenabsatz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right="176"/>
              <w:rPr>
                <w:sz w:val="20"/>
                <w:szCs w:val="20"/>
              </w:rPr>
            </w:pPr>
            <w:r w:rsidRPr="00850637">
              <w:rPr>
                <w:sz w:val="20"/>
                <w:szCs w:val="20"/>
              </w:rPr>
              <w:t>Was bedeutet das für die betroffenen Sch</w:t>
            </w:r>
            <w:r w:rsidRPr="00850637">
              <w:rPr>
                <w:sz w:val="20"/>
                <w:szCs w:val="20"/>
              </w:rPr>
              <w:t>ü</w:t>
            </w:r>
            <w:r w:rsidRPr="00850637">
              <w:rPr>
                <w:sz w:val="20"/>
                <w:szCs w:val="20"/>
              </w:rPr>
              <w:t>ler?</w:t>
            </w:r>
          </w:p>
          <w:p w:rsidR="00BF5047" w:rsidRPr="00850637" w:rsidRDefault="00BF5047" w:rsidP="00FA200D">
            <w:pPr>
              <w:pStyle w:val="Listenabsatz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right="176"/>
              <w:rPr>
                <w:sz w:val="20"/>
                <w:szCs w:val="20"/>
              </w:rPr>
            </w:pPr>
            <w:r w:rsidRPr="00850637">
              <w:rPr>
                <w:sz w:val="20"/>
                <w:szCs w:val="20"/>
              </w:rPr>
              <w:t>Welche Grundsätze lassen sich für die Unterrichtsplanung daraus ableiten?</w:t>
            </w:r>
          </w:p>
          <w:p w:rsidR="00BF5047" w:rsidRPr="00850637" w:rsidRDefault="00BF5047" w:rsidP="00FA200D">
            <w:pPr>
              <w:pStyle w:val="Listenabsatz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right="176"/>
              <w:rPr>
                <w:sz w:val="20"/>
                <w:szCs w:val="20"/>
              </w:rPr>
            </w:pPr>
            <w:r w:rsidRPr="00850637">
              <w:rPr>
                <w:sz w:val="20"/>
                <w:szCs w:val="20"/>
              </w:rPr>
              <w:t>Welche Hilfssysteme sind im schulischen und außerschul</w:t>
            </w:r>
            <w:r w:rsidRPr="00850637">
              <w:rPr>
                <w:sz w:val="20"/>
                <w:szCs w:val="20"/>
              </w:rPr>
              <w:t>i</w:t>
            </w:r>
            <w:r w:rsidRPr="00850637">
              <w:rPr>
                <w:sz w:val="20"/>
                <w:szCs w:val="20"/>
              </w:rPr>
              <w:t>schen System zu fi</w:t>
            </w:r>
            <w:r w:rsidRPr="00850637">
              <w:rPr>
                <w:sz w:val="20"/>
                <w:szCs w:val="20"/>
              </w:rPr>
              <w:t>n</w:t>
            </w:r>
            <w:r w:rsidRPr="00850637">
              <w:rPr>
                <w:sz w:val="20"/>
                <w:szCs w:val="20"/>
              </w:rPr>
              <w:t>den?</w:t>
            </w:r>
          </w:p>
          <w:p w:rsidR="00BF5047" w:rsidRPr="00DD5440" w:rsidRDefault="00BF5047" w:rsidP="00FA200D">
            <w:pPr>
              <w:shd w:val="clear" w:color="auto" w:fill="FFFFFF" w:themeFill="background1"/>
              <w:spacing w:line="276" w:lineRule="auto"/>
              <w:ind w:right="176"/>
              <w:rPr>
                <w:b/>
                <w:color w:val="7030A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BF5047" w:rsidRPr="0073239B" w:rsidRDefault="00BF5047" w:rsidP="007539B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73239B">
              <w:rPr>
                <w:b/>
                <w:sz w:val="20"/>
                <w:szCs w:val="20"/>
              </w:rPr>
              <w:t>Sonderpädagogisches Arbeiten an einem SBBZ Geistige En</w:t>
            </w:r>
            <w:r w:rsidRPr="0073239B">
              <w:rPr>
                <w:b/>
                <w:sz w:val="20"/>
                <w:szCs w:val="20"/>
              </w:rPr>
              <w:t>t</w:t>
            </w:r>
            <w:r w:rsidRPr="0073239B">
              <w:rPr>
                <w:b/>
                <w:sz w:val="20"/>
                <w:szCs w:val="20"/>
              </w:rPr>
              <w:t>wicklung</w:t>
            </w:r>
          </w:p>
          <w:p w:rsidR="00BF5047" w:rsidRDefault="00BF5047" w:rsidP="00FA200D">
            <w:pPr>
              <w:pStyle w:val="Listenabsatz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Sonderpädagogische Prinz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pien (Raumgestaltung, Or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nungssysteme, </w:t>
            </w:r>
            <w:proofErr w:type="spellStart"/>
            <w:r>
              <w:rPr>
                <w:sz w:val="20"/>
                <w:szCs w:val="20"/>
              </w:rPr>
              <w:t>Teacch</w:t>
            </w:r>
            <w:proofErr w:type="spellEnd"/>
            <w:r>
              <w:rPr>
                <w:sz w:val="20"/>
                <w:szCs w:val="20"/>
              </w:rPr>
              <w:t xml:space="preserve"> usw.)</w:t>
            </w:r>
          </w:p>
          <w:p w:rsidR="00BF5047" w:rsidRDefault="00BF5047" w:rsidP="00FA200D">
            <w:pPr>
              <w:pStyle w:val="Listenabsatz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Beispiele aus dem Unte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richtsalltag</w:t>
            </w:r>
          </w:p>
          <w:p w:rsidR="00BF5047" w:rsidRDefault="00BF5047" w:rsidP="00FA200D">
            <w:pPr>
              <w:pStyle w:val="Listenabsatz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Bildungsplan Geistige Entwicklung</w:t>
            </w:r>
          </w:p>
          <w:p w:rsidR="00BF5047" w:rsidRPr="00FA200D" w:rsidRDefault="00BF5047" w:rsidP="00FA200D">
            <w:pPr>
              <w:pStyle w:val="Listenabsatz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Anhand des BP Geistige En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wicklung überlegen, wie ein solches Bildungsziel in der I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klusion bewältigt werden kann</w:t>
            </w:r>
          </w:p>
          <w:p w:rsidR="00BF5047" w:rsidRPr="00AC084B" w:rsidRDefault="00BF5047" w:rsidP="007539B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F5047" w:rsidRPr="0073239B" w:rsidRDefault="00BF5047" w:rsidP="007539BC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73239B">
              <w:rPr>
                <w:b/>
                <w:sz w:val="20"/>
                <w:szCs w:val="20"/>
              </w:rPr>
              <w:t>Inklusion an der GMS Ge</w:t>
            </w:r>
            <w:r w:rsidRPr="0073239B">
              <w:rPr>
                <w:b/>
                <w:sz w:val="20"/>
                <w:szCs w:val="20"/>
              </w:rPr>
              <w:t>b</w:t>
            </w:r>
            <w:r w:rsidRPr="0073239B">
              <w:rPr>
                <w:b/>
                <w:sz w:val="20"/>
                <w:szCs w:val="20"/>
              </w:rPr>
              <w:t>hard – Chancen und Herau</w:t>
            </w:r>
            <w:r w:rsidRPr="0073239B">
              <w:rPr>
                <w:b/>
                <w:sz w:val="20"/>
                <w:szCs w:val="20"/>
              </w:rPr>
              <w:t>s</w:t>
            </w:r>
            <w:r w:rsidRPr="0073239B">
              <w:rPr>
                <w:b/>
                <w:sz w:val="20"/>
                <w:szCs w:val="20"/>
              </w:rPr>
              <w:t>forderungen im Alltag</w:t>
            </w:r>
          </w:p>
          <w:p w:rsidR="00BF5047" w:rsidRPr="001C7866" w:rsidRDefault="00BF5047" w:rsidP="007539B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73239B">
              <w:rPr>
                <w:sz w:val="20"/>
                <w:szCs w:val="20"/>
              </w:rPr>
              <w:t>Leben, Lernen und Arbeiten im inklusiven Schulkonzept</w:t>
            </w:r>
            <w:r w:rsidRPr="001C7866">
              <w:rPr>
                <w:sz w:val="20"/>
                <w:szCs w:val="20"/>
              </w:rPr>
              <w:t xml:space="preserve"> – ein </w:t>
            </w:r>
            <w:proofErr w:type="spellStart"/>
            <w:r w:rsidRPr="001C7866">
              <w:rPr>
                <w:sz w:val="20"/>
                <w:szCs w:val="20"/>
              </w:rPr>
              <w:t>multiprofesionelles</w:t>
            </w:r>
            <w:proofErr w:type="spellEnd"/>
            <w:r w:rsidRPr="001C7866">
              <w:rPr>
                <w:sz w:val="20"/>
                <w:szCs w:val="20"/>
              </w:rPr>
              <w:t xml:space="preserve"> Inklusion</w:t>
            </w:r>
            <w:r w:rsidRPr="001C7866">
              <w:rPr>
                <w:sz w:val="20"/>
                <w:szCs w:val="20"/>
              </w:rPr>
              <w:t>s</w:t>
            </w:r>
            <w:r w:rsidRPr="001C7866">
              <w:rPr>
                <w:sz w:val="20"/>
                <w:szCs w:val="20"/>
              </w:rPr>
              <w:t xml:space="preserve">team der </w:t>
            </w:r>
            <w:proofErr w:type="spellStart"/>
            <w:r w:rsidRPr="001C7866">
              <w:rPr>
                <w:sz w:val="20"/>
                <w:szCs w:val="20"/>
              </w:rPr>
              <w:t>Gemeinschaftschule</w:t>
            </w:r>
            <w:proofErr w:type="spellEnd"/>
            <w:r w:rsidRPr="001C7866">
              <w:rPr>
                <w:sz w:val="20"/>
                <w:szCs w:val="20"/>
              </w:rPr>
              <w:t xml:space="preserve"> Gebhard Konstanz referiert anhand eines ausgewählten Unterrichtsbeispiels über pra</w:t>
            </w:r>
            <w:r w:rsidRPr="001C7866">
              <w:rPr>
                <w:sz w:val="20"/>
                <w:szCs w:val="20"/>
              </w:rPr>
              <w:t>k</w:t>
            </w:r>
            <w:r w:rsidRPr="001C7866">
              <w:rPr>
                <w:sz w:val="20"/>
                <w:szCs w:val="20"/>
              </w:rPr>
              <w:t xml:space="preserve">tische Erfahrungen aus dem Schulalltag. Im Anschluss werden gemeinsam </w:t>
            </w:r>
            <w:proofErr w:type="spellStart"/>
            <w:r w:rsidRPr="001C7866">
              <w:rPr>
                <w:sz w:val="20"/>
                <w:szCs w:val="20"/>
              </w:rPr>
              <w:t>Geli</w:t>
            </w:r>
            <w:r w:rsidRPr="001C7866">
              <w:rPr>
                <w:sz w:val="20"/>
                <w:szCs w:val="20"/>
              </w:rPr>
              <w:t>n</w:t>
            </w:r>
            <w:r w:rsidRPr="001C7866">
              <w:rPr>
                <w:sz w:val="20"/>
                <w:szCs w:val="20"/>
              </w:rPr>
              <w:t>gensbedingungen</w:t>
            </w:r>
            <w:proofErr w:type="spellEnd"/>
            <w:r w:rsidRPr="001C7866">
              <w:rPr>
                <w:sz w:val="20"/>
                <w:szCs w:val="20"/>
              </w:rPr>
              <w:t xml:space="preserve"> und Hem</w:t>
            </w:r>
            <w:r w:rsidRPr="001C7866">
              <w:rPr>
                <w:sz w:val="20"/>
                <w:szCs w:val="20"/>
              </w:rPr>
              <w:t>m</w:t>
            </w:r>
            <w:r w:rsidRPr="001C7866">
              <w:rPr>
                <w:sz w:val="20"/>
                <w:szCs w:val="20"/>
              </w:rPr>
              <w:t>faktoren schulischer Inklusion zusammengetragen und disk</w:t>
            </w:r>
            <w:r w:rsidRPr="001C7866">
              <w:rPr>
                <w:sz w:val="20"/>
                <w:szCs w:val="20"/>
              </w:rPr>
              <w:t>u</w:t>
            </w:r>
            <w:r w:rsidRPr="001C7866">
              <w:rPr>
                <w:sz w:val="20"/>
                <w:szCs w:val="20"/>
              </w:rPr>
              <w:t>tiert.</w:t>
            </w:r>
          </w:p>
        </w:tc>
      </w:tr>
      <w:tr w:rsidR="008D21F8" w:rsidTr="008D21F8">
        <w:trPr>
          <w:trHeight w:val="275"/>
        </w:trPr>
        <w:tc>
          <w:tcPr>
            <w:tcW w:w="1277" w:type="dxa"/>
            <w:shd w:val="clear" w:color="auto" w:fill="FFFF00"/>
          </w:tcPr>
          <w:p w:rsidR="008D21F8" w:rsidRPr="001669D3" w:rsidRDefault="008D21F8" w:rsidP="001D7AB8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GS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21F8" w:rsidRPr="001669D3" w:rsidRDefault="008D21F8" w:rsidP="001D7A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WHRS</w:t>
            </w:r>
          </w:p>
        </w:tc>
        <w:tc>
          <w:tcPr>
            <w:tcW w:w="1134" w:type="dxa"/>
            <w:shd w:val="clear" w:color="auto" w:fill="FFFF00"/>
          </w:tcPr>
          <w:p w:rsidR="008D21F8" w:rsidRPr="001669D3" w:rsidRDefault="008D21F8" w:rsidP="001D7A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21F8" w:rsidRPr="001669D3" w:rsidRDefault="008D21F8" w:rsidP="001D7A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WHRS</w:t>
            </w:r>
          </w:p>
        </w:tc>
        <w:tc>
          <w:tcPr>
            <w:tcW w:w="850" w:type="dxa"/>
            <w:shd w:val="clear" w:color="auto" w:fill="FFFF00"/>
          </w:tcPr>
          <w:p w:rsidR="008D21F8" w:rsidRPr="001669D3" w:rsidRDefault="008D21F8" w:rsidP="00B0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21F8" w:rsidRPr="001669D3" w:rsidRDefault="008D21F8" w:rsidP="00B01F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WHRS</w:t>
            </w:r>
          </w:p>
        </w:tc>
        <w:tc>
          <w:tcPr>
            <w:tcW w:w="709" w:type="dxa"/>
            <w:shd w:val="clear" w:color="auto" w:fill="FFFF00"/>
          </w:tcPr>
          <w:p w:rsidR="008D21F8" w:rsidRPr="001669D3" w:rsidRDefault="008D21F8" w:rsidP="001D7AB8">
            <w:pPr>
              <w:jc w:val="center"/>
              <w:rPr>
                <w:b/>
                <w:sz w:val="16"/>
                <w:szCs w:val="16"/>
              </w:rPr>
            </w:pPr>
            <w:r w:rsidRPr="002376FE">
              <w:rPr>
                <w:b/>
                <w:sz w:val="16"/>
                <w:szCs w:val="16"/>
                <w:highlight w:val="yellow"/>
              </w:rPr>
              <w:t>GS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8D21F8" w:rsidRPr="001669D3" w:rsidRDefault="008D21F8" w:rsidP="001D7A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WHRS</w:t>
            </w:r>
          </w:p>
        </w:tc>
        <w:tc>
          <w:tcPr>
            <w:tcW w:w="1843" w:type="dxa"/>
            <w:shd w:val="clear" w:color="auto" w:fill="FFFF00"/>
          </w:tcPr>
          <w:p w:rsidR="008D21F8" w:rsidRPr="001669D3" w:rsidRDefault="008D21F8" w:rsidP="007539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D21F8" w:rsidRPr="001669D3" w:rsidRDefault="008D21F8" w:rsidP="007539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WHRS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8D21F8" w:rsidRPr="001669D3" w:rsidRDefault="008D21F8" w:rsidP="007539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WHRS</w:t>
            </w:r>
          </w:p>
        </w:tc>
      </w:tr>
    </w:tbl>
    <w:p w:rsidR="00DA4E3D" w:rsidRDefault="00DA4E3D" w:rsidP="00DA0873"/>
    <w:sectPr w:rsidR="00DA4E3D" w:rsidSect="00BF5047">
      <w:pgSz w:w="16838" w:h="11906" w:orient="landscape" w:code="9"/>
      <w:pgMar w:top="567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F4" w:rsidRDefault="007754F4" w:rsidP="001E03DE">
      <w:r>
        <w:separator/>
      </w:r>
    </w:p>
  </w:endnote>
  <w:endnote w:type="continuationSeparator" w:id="0">
    <w:p w:rsidR="007754F4" w:rsidRDefault="007754F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F4" w:rsidRDefault="007754F4" w:rsidP="001E03DE">
      <w:r>
        <w:separator/>
      </w:r>
    </w:p>
  </w:footnote>
  <w:footnote w:type="continuationSeparator" w:id="0">
    <w:p w:rsidR="007754F4" w:rsidRDefault="007754F4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B05"/>
    <w:multiLevelType w:val="hybridMultilevel"/>
    <w:tmpl w:val="E78C77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C6770"/>
    <w:multiLevelType w:val="hybridMultilevel"/>
    <w:tmpl w:val="9728815A"/>
    <w:lvl w:ilvl="0" w:tplc="6A665FB2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11721"/>
    <w:multiLevelType w:val="hybridMultilevel"/>
    <w:tmpl w:val="E452D6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D4BC4"/>
    <w:multiLevelType w:val="hybridMultilevel"/>
    <w:tmpl w:val="209082DE"/>
    <w:lvl w:ilvl="0" w:tplc="40C06C8E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0434"/>
    <w:multiLevelType w:val="hybridMultilevel"/>
    <w:tmpl w:val="E27C3250"/>
    <w:lvl w:ilvl="0" w:tplc="43C89B72">
      <w:start w:val="2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4A73B3"/>
    <w:multiLevelType w:val="hybridMultilevel"/>
    <w:tmpl w:val="6A304E50"/>
    <w:lvl w:ilvl="0" w:tplc="3FE81E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B369CA"/>
    <w:multiLevelType w:val="hybridMultilevel"/>
    <w:tmpl w:val="69986F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4F6EC2"/>
    <w:multiLevelType w:val="hybridMultilevel"/>
    <w:tmpl w:val="BD96B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65"/>
    <w:rsid w:val="00000212"/>
    <w:rsid w:val="00032720"/>
    <w:rsid w:val="0005186A"/>
    <w:rsid w:val="0005344D"/>
    <w:rsid w:val="00063996"/>
    <w:rsid w:val="00064432"/>
    <w:rsid w:val="00085E3F"/>
    <w:rsid w:val="000A3FF7"/>
    <w:rsid w:val="000A52C3"/>
    <w:rsid w:val="000A6FCA"/>
    <w:rsid w:val="000B22D3"/>
    <w:rsid w:val="000B63E8"/>
    <w:rsid w:val="000C281D"/>
    <w:rsid w:val="000D0EE3"/>
    <w:rsid w:val="000E16A9"/>
    <w:rsid w:val="00121AF7"/>
    <w:rsid w:val="001313FF"/>
    <w:rsid w:val="0013192D"/>
    <w:rsid w:val="00132F18"/>
    <w:rsid w:val="00141F14"/>
    <w:rsid w:val="00150CB3"/>
    <w:rsid w:val="001669D3"/>
    <w:rsid w:val="001A0C12"/>
    <w:rsid w:val="001A2103"/>
    <w:rsid w:val="001B04F5"/>
    <w:rsid w:val="001B37D4"/>
    <w:rsid w:val="001C7866"/>
    <w:rsid w:val="001D2088"/>
    <w:rsid w:val="001D53ED"/>
    <w:rsid w:val="001D6FBC"/>
    <w:rsid w:val="001D7AB8"/>
    <w:rsid w:val="001E03DE"/>
    <w:rsid w:val="001E1CD2"/>
    <w:rsid w:val="001F669F"/>
    <w:rsid w:val="002223B8"/>
    <w:rsid w:val="00224B5B"/>
    <w:rsid w:val="002376FE"/>
    <w:rsid w:val="0024528C"/>
    <w:rsid w:val="00246E08"/>
    <w:rsid w:val="002611D0"/>
    <w:rsid w:val="0027370C"/>
    <w:rsid w:val="002763CA"/>
    <w:rsid w:val="00296589"/>
    <w:rsid w:val="002A1450"/>
    <w:rsid w:val="002A2B27"/>
    <w:rsid w:val="002D0BD5"/>
    <w:rsid w:val="002F3C47"/>
    <w:rsid w:val="0030177D"/>
    <w:rsid w:val="0032341D"/>
    <w:rsid w:val="0034085F"/>
    <w:rsid w:val="00341A5F"/>
    <w:rsid w:val="00386CCC"/>
    <w:rsid w:val="003B0E4C"/>
    <w:rsid w:val="003F1FD2"/>
    <w:rsid w:val="003F7AB8"/>
    <w:rsid w:val="004003D4"/>
    <w:rsid w:val="004052BF"/>
    <w:rsid w:val="004058C5"/>
    <w:rsid w:val="00420B31"/>
    <w:rsid w:val="00420FBC"/>
    <w:rsid w:val="00425C8E"/>
    <w:rsid w:val="00436501"/>
    <w:rsid w:val="00440E7A"/>
    <w:rsid w:val="00441C9C"/>
    <w:rsid w:val="0044650F"/>
    <w:rsid w:val="004543EE"/>
    <w:rsid w:val="0047131A"/>
    <w:rsid w:val="00476358"/>
    <w:rsid w:val="004A4F27"/>
    <w:rsid w:val="004B77DF"/>
    <w:rsid w:val="004D5652"/>
    <w:rsid w:val="00573C25"/>
    <w:rsid w:val="00580B2C"/>
    <w:rsid w:val="00584B33"/>
    <w:rsid w:val="00596EAB"/>
    <w:rsid w:val="005C11E9"/>
    <w:rsid w:val="005E2B8B"/>
    <w:rsid w:val="005F00E9"/>
    <w:rsid w:val="005F60D7"/>
    <w:rsid w:val="00603665"/>
    <w:rsid w:val="00604008"/>
    <w:rsid w:val="00620837"/>
    <w:rsid w:val="006529AE"/>
    <w:rsid w:val="00655E4F"/>
    <w:rsid w:val="00676542"/>
    <w:rsid w:val="0068762A"/>
    <w:rsid w:val="006B2635"/>
    <w:rsid w:val="006D585E"/>
    <w:rsid w:val="006D5EEA"/>
    <w:rsid w:val="006E1DC5"/>
    <w:rsid w:val="006F7F3D"/>
    <w:rsid w:val="00702C39"/>
    <w:rsid w:val="00715590"/>
    <w:rsid w:val="00717F77"/>
    <w:rsid w:val="007208CD"/>
    <w:rsid w:val="00723EB8"/>
    <w:rsid w:val="007315E8"/>
    <w:rsid w:val="0073239B"/>
    <w:rsid w:val="0074233E"/>
    <w:rsid w:val="00743904"/>
    <w:rsid w:val="00746F62"/>
    <w:rsid w:val="007656F1"/>
    <w:rsid w:val="00767227"/>
    <w:rsid w:val="00771E6C"/>
    <w:rsid w:val="007754F4"/>
    <w:rsid w:val="00796392"/>
    <w:rsid w:val="007A36E3"/>
    <w:rsid w:val="007D0E88"/>
    <w:rsid w:val="007D60A2"/>
    <w:rsid w:val="007E1089"/>
    <w:rsid w:val="007F66F6"/>
    <w:rsid w:val="00800D0B"/>
    <w:rsid w:val="00807C45"/>
    <w:rsid w:val="00853E19"/>
    <w:rsid w:val="008550F2"/>
    <w:rsid w:val="00862797"/>
    <w:rsid w:val="008973F2"/>
    <w:rsid w:val="008A7911"/>
    <w:rsid w:val="008B0BB5"/>
    <w:rsid w:val="008C2055"/>
    <w:rsid w:val="008C5BD5"/>
    <w:rsid w:val="008D21F8"/>
    <w:rsid w:val="008D4B39"/>
    <w:rsid w:val="008D743D"/>
    <w:rsid w:val="008F5C79"/>
    <w:rsid w:val="008F748A"/>
    <w:rsid w:val="00902C64"/>
    <w:rsid w:val="00910D87"/>
    <w:rsid w:val="00920984"/>
    <w:rsid w:val="00935EB4"/>
    <w:rsid w:val="009533B3"/>
    <w:rsid w:val="00962B3E"/>
    <w:rsid w:val="0096474D"/>
    <w:rsid w:val="009935D5"/>
    <w:rsid w:val="009935DA"/>
    <w:rsid w:val="009A5F44"/>
    <w:rsid w:val="009B00CF"/>
    <w:rsid w:val="009C05F9"/>
    <w:rsid w:val="009C26BA"/>
    <w:rsid w:val="009D1A0F"/>
    <w:rsid w:val="009F3B2F"/>
    <w:rsid w:val="009F4658"/>
    <w:rsid w:val="00A2256D"/>
    <w:rsid w:val="00A2352E"/>
    <w:rsid w:val="00A3670E"/>
    <w:rsid w:val="00A37DCE"/>
    <w:rsid w:val="00A55D1A"/>
    <w:rsid w:val="00A56798"/>
    <w:rsid w:val="00A81BB9"/>
    <w:rsid w:val="00A850AF"/>
    <w:rsid w:val="00A934C4"/>
    <w:rsid w:val="00AA04E6"/>
    <w:rsid w:val="00AA6E8C"/>
    <w:rsid w:val="00AB121E"/>
    <w:rsid w:val="00AC084B"/>
    <w:rsid w:val="00AD00BD"/>
    <w:rsid w:val="00AD2D62"/>
    <w:rsid w:val="00AD561E"/>
    <w:rsid w:val="00AE6BEB"/>
    <w:rsid w:val="00B117C4"/>
    <w:rsid w:val="00B13043"/>
    <w:rsid w:val="00B22AD4"/>
    <w:rsid w:val="00B7071B"/>
    <w:rsid w:val="00B77D7A"/>
    <w:rsid w:val="00B82ED7"/>
    <w:rsid w:val="00B95C7D"/>
    <w:rsid w:val="00BB5433"/>
    <w:rsid w:val="00BB7365"/>
    <w:rsid w:val="00BE0013"/>
    <w:rsid w:val="00BF5047"/>
    <w:rsid w:val="00C05394"/>
    <w:rsid w:val="00C22DA6"/>
    <w:rsid w:val="00C33AEC"/>
    <w:rsid w:val="00C37388"/>
    <w:rsid w:val="00C37CA2"/>
    <w:rsid w:val="00C37DDD"/>
    <w:rsid w:val="00C605A9"/>
    <w:rsid w:val="00C80112"/>
    <w:rsid w:val="00C83F03"/>
    <w:rsid w:val="00C95B40"/>
    <w:rsid w:val="00CA69DF"/>
    <w:rsid w:val="00CC0E77"/>
    <w:rsid w:val="00CC2E75"/>
    <w:rsid w:val="00CD6932"/>
    <w:rsid w:val="00D25B65"/>
    <w:rsid w:val="00D263CD"/>
    <w:rsid w:val="00D449FC"/>
    <w:rsid w:val="00D556AE"/>
    <w:rsid w:val="00D82007"/>
    <w:rsid w:val="00D82082"/>
    <w:rsid w:val="00DA0873"/>
    <w:rsid w:val="00DA4E3D"/>
    <w:rsid w:val="00DA6D18"/>
    <w:rsid w:val="00DF4613"/>
    <w:rsid w:val="00E0112B"/>
    <w:rsid w:val="00E01473"/>
    <w:rsid w:val="00E0646B"/>
    <w:rsid w:val="00E25F08"/>
    <w:rsid w:val="00E41662"/>
    <w:rsid w:val="00E4619E"/>
    <w:rsid w:val="00E522D9"/>
    <w:rsid w:val="00E562D5"/>
    <w:rsid w:val="00E86279"/>
    <w:rsid w:val="00EA02DE"/>
    <w:rsid w:val="00EA6AED"/>
    <w:rsid w:val="00EE3482"/>
    <w:rsid w:val="00EF4EFD"/>
    <w:rsid w:val="00EF4F0B"/>
    <w:rsid w:val="00F316D0"/>
    <w:rsid w:val="00F320B0"/>
    <w:rsid w:val="00F36F73"/>
    <w:rsid w:val="00F42F97"/>
    <w:rsid w:val="00F44A67"/>
    <w:rsid w:val="00F56F58"/>
    <w:rsid w:val="00F62340"/>
    <w:rsid w:val="00F63704"/>
    <w:rsid w:val="00F64B7C"/>
    <w:rsid w:val="00F70C26"/>
    <w:rsid w:val="00F8763B"/>
    <w:rsid w:val="00FA200D"/>
    <w:rsid w:val="00FC3149"/>
    <w:rsid w:val="00FC5296"/>
    <w:rsid w:val="00FC7DA2"/>
    <w:rsid w:val="00FE0A83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D25B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5B65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D25B65"/>
    <w:rPr>
      <w:rFonts w:ascii="Calibr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25B65"/>
    <w:rPr>
      <w:rFonts w:ascii="Calibri" w:hAnsi="Calibri" w:cstheme="minorBidi"/>
      <w:sz w:val="22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B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D25B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5B65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D25B65"/>
    <w:rPr>
      <w:rFonts w:ascii="Calibr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25B65"/>
    <w:rPr>
      <w:rFonts w:ascii="Calibri" w:hAnsi="Calibri" w:cstheme="minorBidi"/>
      <w:sz w:val="22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B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1977-9EC0-4C33-BE3C-EA9CA312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Opinc, Sieglinde (Seminar GWHRS Rottweil)</dc:creator>
  <cp:lastModifiedBy>Opinc, Sieglinde (Seminar GWHRS Rottweil)</cp:lastModifiedBy>
  <cp:revision>7</cp:revision>
  <cp:lastPrinted>2019-05-23T08:46:00Z</cp:lastPrinted>
  <dcterms:created xsi:type="dcterms:W3CDTF">2019-04-02T14:47:00Z</dcterms:created>
  <dcterms:modified xsi:type="dcterms:W3CDTF">2019-06-28T13:44:00Z</dcterms:modified>
</cp:coreProperties>
</file>